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826"/>
      </w:tblGrid>
      <w:tr w:rsidR="00873AEC" w14:paraId="38550E52" w14:textId="77777777">
        <w:tc>
          <w:tcPr>
            <w:tcW w:w="4200" w:type="dxa"/>
            <w:tcBorders>
              <w:right w:val="single" w:sz="4" w:space="0" w:color="DDDDDD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39B8729D" w14:textId="77777777" w:rsidR="00873AEC" w:rsidRDefault="00104D82">
            <w:pPr>
              <w:spacing w:after="36"/>
            </w:pPr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t>Співорганізатори:</w:t>
            </w:r>
          </w:p>
          <w:p w14:paraId="7411BF42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ГО «Софійське Братство»</w:t>
            </w:r>
          </w:p>
          <w:p w14:paraId="67E33917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Гуманітарно-мистецький факультет</w:t>
            </w:r>
          </w:p>
          <w:p w14:paraId="131219C6" w14:textId="77777777" w:rsidR="00873AEC" w:rsidRDefault="00104D82">
            <w:pPr>
              <w:spacing w:after="36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ДУ «Київський авіаційний інститут»</w:t>
            </w:r>
          </w:p>
          <w:p w14:paraId="3873826B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t>За підтримки:</w:t>
            </w:r>
          </w:p>
          <w:p w14:paraId="425F1345" w14:textId="77777777" w:rsidR="00873AEC" w:rsidRDefault="00104D82">
            <w:proofErr w:type="spellStart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Zivik</w:t>
            </w:r>
            <w:proofErr w:type="spellEnd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/IFA — Федеральне міністерство</w:t>
            </w:r>
          </w:p>
          <w:p w14:paraId="54731415" w14:textId="77777777" w:rsidR="00873AEC" w:rsidRDefault="00104D82"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закордонних справ Німеччини</w:t>
            </w:r>
          </w:p>
          <w:p w14:paraId="5DD6578C" w14:textId="77777777" w:rsidR="00873AEC" w:rsidRDefault="00104D82">
            <w:r>
              <w:rPr>
                <w:rFonts w:ascii="Arial" w:eastAsia="Arial" w:hAnsi="Arial" w:cs="Arial"/>
                <w:i/>
                <w:iCs/>
                <w:color w:val="1D5C52"/>
                <w:sz w:val="16"/>
                <w:szCs w:val="16"/>
              </w:rPr>
              <w:t>zivik.ifa.de</w:t>
            </w:r>
          </w:p>
        </w:tc>
        <w:tc>
          <w:tcPr>
            <w:tcW w:w="4826" w:type="dxa"/>
            <w:tcMar>
              <w:top w:w="0" w:type="dxa"/>
              <w:left w:w="200" w:type="dxa"/>
              <w:bottom w:w="0" w:type="dxa"/>
              <w:right w:w="0" w:type="dxa"/>
            </w:tcMar>
          </w:tcPr>
          <w:p w14:paraId="02E9819C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t xml:space="preserve">У рамках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t>проєкту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t>:</w:t>
            </w:r>
          </w:p>
          <w:p w14:paraId="531DF8CA" w14:textId="77777777" w:rsidR="00873AEC" w:rsidRDefault="00104D82">
            <w:pPr>
              <w:spacing w:after="40"/>
            </w:pPr>
            <w:r>
              <w:rPr>
                <w:rFonts w:ascii="Arial" w:eastAsia="Arial" w:hAnsi="Arial" w:cs="Arial"/>
                <w:i/>
                <w:iCs/>
                <w:color w:val="1A2B4A"/>
                <w:sz w:val="16"/>
                <w:szCs w:val="16"/>
              </w:rPr>
              <w:t>«Молодь за майбутнє України: діалог,</w:t>
            </w:r>
          </w:p>
          <w:p w14:paraId="3FDE434A" w14:textId="77777777" w:rsidR="00873AEC" w:rsidRDefault="00104D82">
            <w:pPr>
              <w:spacing w:after="40"/>
            </w:pPr>
            <w:r>
              <w:rPr>
                <w:rFonts w:ascii="Arial" w:eastAsia="Arial" w:hAnsi="Arial" w:cs="Arial"/>
                <w:i/>
                <w:iCs/>
                <w:color w:val="1A2B4A"/>
                <w:sz w:val="16"/>
                <w:szCs w:val="16"/>
              </w:rPr>
              <w:t xml:space="preserve">дослідження та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1A2B4A"/>
                <w:sz w:val="16"/>
                <w:szCs w:val="16"/>
              </w:rPr>
              <w:t>медіаробота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1A2B4A"/>
                <w:sz w:val="16"/>
                <w:szCs w:val="16"/>
              </w:rPr>
              <w:t xml:space="preserve"> для консолідації</w:t>
            </w:r>
          </w:p>
          <w:p w14:paraId="4CC8398F" w14:textId="77777777" w:rsidR="00873AEC" w:rsidRDefault="00104D82">
            <w:r>
              <w:rPr>
                <w:rFonts w:ascii="Arial" w:eastAsia="Arial" w:hAnsi="Arial" w:cs="Arial"/>
                <w:i/>
                <w:iCs/>
                <w:color w:val="1A2B4A"/>
                <w:sz w:val="16"/>
                <w:szCs w:val="16"/>
              </w:rPr>
              <w:t>українського суспільства та православ'я»</w:t>
            </w:r>
          </w:p>
        </w:tc>
      </w:tr>
    </w:tbl>
    <w:p w14:paraId="321344CB" w14:textId="77777777" w:rsidR="00873AEC" w:rsidRDefault="00873AEC">
      <w:pPr>
        <w:spacing w:before="40"/>
      </w:pPr>
    </w:p>
    <w:p w14:paraId="2842F3E4" w14:textId="77777777" w:rsidR="00873AEC" w:rsidRDefault="00873AEC">
      <w:pPr>
        <w:pBdr>
          <w:bottom w:val="single" w:sz="8" w:space="0" w:color="7B5800"/>
        </w:pBdr>
        <w:spacing w:before="28" w:after="28"/>
      </w:pPr>
    </w:p>
    <w:p w14:paraId="2B934AFF" w14:textId="77777777" w:rsidR="00873AEC" w:rsidRDefault="00873AEC">
      <w:pPr>
        <w:spacing w:before="50"/>
      </w:pPr>
    </w:p>
    <w:p w14:paraId="4CB0D1F5" w14:textId="77777777" w:rsidR="00873AEC" w:rsidRDefault="00104D82">
      <w:pPr>
        <w:spacing w:after="60"/>
        <w:jc w:val="center"/>
      </w:pPr>
      <w:r>
        <w:rPr>
          <w:rFonts w:ascii="Arial" w:eastAsia="Arial" w:hAnsi="Arial" w:cs="Arial"/>
          <w:color w:val="888888"/>
          <w:sz w:val="18"/>
          <w:szCs w:val="18"/>
        </w:rPr>
        <w:t>ІНФОРМАЦІЙНИЙ ЛИСТ</w:t>
      </w:r>
    </w:p>
    <w:p w14:paraId="36737C1F" w14:textId="77777777" w:rsidR="00873AEC" w:rsidRDefault="00873AEC">
      <w:pPr>
        <w:spacing w:before="20"/>
      </w:pPr>
    </w:p>
    <w:p w14:paraId="076D7C1E" w14:textId="77777777" w:rsidR="00873AEC" w:rsidRDefault="00104D82">
      <w:pPr>
        <w:spacing w:after="60"/>
        <w:jc w:val="center"/>
      </w:pPr>
      <w:r>
        <w:rPr>
          <w:rFonts w:ascii="Arial" w:eastAsia="Arial" w:hAnsi="Arial" w:cs="Arial"/>
          <w:b/>
          <w:bCs/>
          <w:color w:val="1D5C52"/>
          <w:sz w:val="20"/>
          <w:szCs w:val="20"/>
        </w:rPr>
        <w:t>НАУКОВО-ПРАКТИЧНА КОНФЕРЕНЦІЯ</w:t>
      </w:r>
    </w:p>
    <w:p w14:paraId="0E3F4FFC" w14:textId="77777777" w:rsidR="00873AEC" w:rsidRDefault="00873AEC">
      <w:pPr>
        <w:spacing w:before="30"/>
      </w:pPr>
    </w:p>
    <w:p w14:paraId="2DEC3C28" w14:textId="77777777" w:rsidR="00873AEC" w:rsidRDefault="00104D82">
      <w:pPr>
        <w:spacing w:after="60"/>
        <w:jc w:val="center"/>
      </w:pPr>
      <w:r>
        <w:rPr>
          <w:b/>
          <w:bCs/>
          <w:color w:val="1A2B4A"/>
          <w:sz w:val="40"/>
          <w:szCs w:val="40"/>
        </w:rPr>
        <w:t>«Спільне благо:</w:t>
      </w:r>
    </w:p>
    <w:p w14:paraId="5ACC9A8E" w14:textId="77777777" w:rsidR="00873AEC" w:rsidRDefault="00104D82">
      <w:pPr>
        <w:spacing w:after="60"/>
        <w:jc w:val="center"/>
      </w:pPr>
      <w:r>
        <w:rPr>
          <w:b/>
          <w:bCs/>
          <w:color w:val="1A2B4A"/>
          <w:sz w:val="40"/>
          <w:szCs w:val="40"/>
        </w:rPr>
        <w:t>цінності та смисли,</w:t>
      </w:r>
    </w:p>
    <w:p w14:paraId="7652131F" w14:textId="77777777" w:rsidR="00873AEC" w:rsidRDefault="00104D82">
      <w:pPr>
        <w:spacing w:after="60"/>
        <w:jc w:val="center"/>
      </w:pPr>
      <w:r>
        <w:rPr>
          <w:b/>
          <w:bCs/>
          <w:color w:val="1A2B4A"/>
          <w:sz w:val="40"/>
          <w:szCs w:val="40"/>
        </w:rPr>
        <w:t>навколо яких можлива</w:t>
      </w:r>
    </w:p>
    <w:p w14:paraId="45B48EC9" w14:textId="77777777" w:rsidR="00873AEC" w:rsidRDefault="00104D82">
      <w:pPr>
        <w:spacing w:after="60"/>
        <w:jc w:val="center"/>
      </w:pPr>
      <w:r>
        <w:rPr>
          <w:b/>
          <w:bCs/>
          <w:color w:val="1A2B4A"/>
          <w:sz w:val="40"/>
          <w:szCs w:val="40"/>
        </w:rPr>
        <w:t>відбудова України»</w:t>
      </w:r>
    </w:p>
    <w:p w14:paraId="3AD69F0B" w14:textId="77777777" w:rsidR="00873AEC" w:rsidRDefault="00873AEC">
      <w:pPr>
        <w:spacing w:before="40"/>
      </w:pPr>
    </w:p>
    <w:p w14:paraId="56A043A9" w14:textId="77777777" w:rsidR="00873AEC" w:rsidRDefault="00873AEC">
      <w:pPr>
        <w:pBdr>
          <w:bottom w:val="single" w:sz="6" w:space="0" w:color="7B5800"/>
        </w:pBdr>
        <w:spacing w:before="28" w:after="28"/>
      </w:pPr>
    </w:p>
    <w:p w14:paraId="5D507BFD" w14:textId="77777777" w:rsidR="00873AEC" w:rsidRDefault="00873AEC">
      <w:pPr>
        <w:spacing w:before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73AEC" w14:paraId="4BD0CE40" w14:textId="77777777">
        <w:tc>
          <w:tcPr>
            <w:tcW w:w="45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BF6EC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3B191B1" w14:textId="77777777" w:rsidR="00873AEC" w:rsidRDefault="00104D82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7B5800"/>
                <w:sz w:val="24"/>
                <w:szCs w:val="24"/>
              </w:rPr>
              <w:t>2 червня 2026 р.</w:t>
            </w:r>
          </w:p>
          <w:p w14:paraId="7E2F2C02" w14:textId="77777777" w:rsidR="00873AEC" w:rsidRDefault="00104D82">
            <w:pPr>
              <w:spacing w:after="20"/>
              <w:jc w:val="center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2 червня — панельна</w:t>
            </w: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 xml:space="preserve"> дискусія (10:00)</w:t>
            </w:r>
          </w:p>
          <w:p w14:paraId="72B83A8A" w14:textId="77777777" w:rsidR="00873AEC" w:rsidRDefault="00104D82">
            <w:pPr>
              <w:jc w:val="center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Реєстрація о 9:30</w:t>
            </w:r>
          </w:p>
        </w:tc>
        <w:tc>
          <w:tcPr>
            <w:tcW w:w="45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BF5F3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20AABD0A" w14:textId="77777777" w:rsidR="00873AEC" w:rsidRDefault="00104D82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D5C52"/>
                <w:sz w:val="24"/>
                <w:szCs w:val="24"/>
              </w:rPr>
              <w:t>Київ, ДУ «КАІ»</w:t>
            </w:r>
          </w:p>
          <w:p w14:paraId="5122FAAE" w14:textId="77777777" w:rsidR="00873AEC" w:rsidRDefault="00104D82">
            <w:pPr>
              <w:spacing w:after="20"/>
              <w:jc w:val="center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 xml:space="preserve">вул. Любомира </w:t>
            </w:r>
            <w:proofErr w:type="spellStart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Гузара</w:t>
            </w:r>
            <w:proofErr w:type="spellEnd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, 1</w:t>
            </w:r>
          </w:p>
          <w:p w14:paraId="45F7BB14" w14:textId="77777777" w:rsidR="00873AEC" w:rsidRDefault="00104D82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555555"/>
                <w:sz w:val="16"/>
                <w:szCs w:val="16"/>
              </w:rPr>
              <w:t>1 корпус, 3 поверх, актова зала</w:t>
            </w:r>
          </w:p>
        </w:tc>
      </w:tr>
    </w:tbl>
    <w:p w14:paraId="24853AE1" w14:textId="77777777" w:rsidR="00873AEC" w:rsidRDefault="00873AEC">
      <w:pPr>
        <w:spacing w:before="60"/>
      </w:pPr>
    </w:p>
    <w:p w14:paraId="2630841C" w14:textId="77777777" w:rsidR="00873AEC" w:rsidRDefault="00104D82">
      <w:pPr>
        <w:spacing w:after="100"/>
        <w:jc w:val="both"/>
      </w:pPr>
      <w:r>
        <w:rPr>
          <w:color w:val="222222"/>
        </w:rPr>
        <w:t>Шановні колеги,</w:t>
      </w:r>
    </w:p>
    <w:p w14:paraId="2E48ECC1" w14:textId="77777777" w:rsidR="00873AEC" w:rsidRDefault="00873AEC">
      <w:pPr>
        <w:spacing w:before="10"/>
      </w:pPr>
    </w:p>
    <w:p w14:paraId="3EAF8600" w14:textId="77777777" w:rsidR="00873AEC" w:rsidRDefault="00104D82">
      <w:pPr>
        <w:spacing w:after="100"/>
        <w:jc w:val="both"/>
      </w:pPr>
      <w:r>
        <w:rPr>
          <w:color w:val="222222"/>
        </w:rPr>
        <w:t xml:space="preserve">Громадська організація «Софійське Братство» та Державний університет «Київський авіаційний інститут» мають честь запросити вас </w:t>
      </w:r>
      <w:r>
        <w:rPr>
          <w:color w:val="222222"/>
        </w:rPr>
        <w:t>взяти участь у науково-практичній конференції «Спільне благо: цінності та смисли, навколо яких можлива відбудова України».</w:t>
      </w:r>
    </w:p>
    <w:p w14:paraId="6EB47854" w14:textId="77777777" w:rsidR="00873AEC" w:rsidRDefault="00873AEC">
      <w:pPr>
        <w:spacing w:before="10"/>
      </w:pPr>
    </w:p>
    <w:p w14:paraId="1C790F8D" w14:textId="77777777" w:rsidR="00873AEC" w:rsidRDefault="00104D82">
      <w:pPr>
        <w:spacing w:after="100"/>
        <w:jc w:val="both"/>
      </w:pPr>
      <w:r>
        <w:rPr>
          <w:color w:val="222222"/>
        </w:rPr>
        <w:t xml:space="preserve">Конференція відбудеться 2 червня 2026 року в Києві і є відкриттям </w:t>
      </w:r>
      <w:proofErr w:type="spellStart"/>
      <w:r>
        <w:rPr>
          <w:color w:val="222222"/>
        </w:rPr>
        <w:t>проєкту</w:t>
      </w:r>
      <w:proofErr w:type="spellEnd"/>
      <w:r>
        <w:rPr>
          <w:color w:val="222222"/>
        </w:rPr>
        <w:t xml:space="preserve"> «Молодь за майбутнє України» — семимісячної програми для м</w:t>
      </w:r>
      <w:r>
        <w:rPr>
          <w:color w:val="222222"/>
        </w:rPr>
        <w:t xml:space="preserve">олодих лідерів і активістів з малих міст і сіл України, яка реалізується за підтримки </w:t>
      </w:r>
      <w:proofErr w:type="spellStart"/>
      <w:r>
        <w:rPr>
          <w:color w:val="222222"/>
        </w:rPr>
        <w:t>Zivik</w:t>
      </w:r>
      <w:proofErr w:type="spellEnd"/>
      <w:r>
        <w:rPr>
          <w:color w:val="222222"/>
        </w:rPr>
        <w:t>/IFA (Федеральне міністерство закордонних справ Німеччини).</w:t>
      </w:r>
    </w:p>
    <w:p w14:paraId="6B565063" w14:textId="77777777" w:rsidR="00873AEC" w:rsidRDefault="00873AEC">
      <w:pPr>
        <w:spacing w:before="60"/>
      </w:pPr>
    </w:p>
    <w:p w14:paraId="6956E0B2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Мета конференції</w:t>
      </w:r>
    </w:p>
    <w:p w14:paraId="44F6FAE2" w14:textId="77777777" w:rsidR="00873AEC" w:rsidRDefault="00873AEC">
      <w:pPr>
        <w:spacing w:before="10"/>
      </w:pPr>
    </w:p>
    <w:p w14:paraId="5203915C" w14:textId="77777777" w:rsidR="00873AEC" w:rsidRDefault="00104D82">
      <w:pPr>
        <w:spacing w:after="100"/>
        <w:jc w:val="both"/>
      </w:pPr>
      <w:r>
        <w:rPr>
          <w:color w:val="222222"/>
        </w:rPr>
        <w:t>Питання спільного блага набуває особливої гостроти в умовах тривалої війни і майбутньо</w:t>
      </w:r>
      <w:r>
        <w:rPr>
          <w:color w:val="222222"/>
        </w:rPr>
        <w:t>го відновлення країни. Ми прагнемо зібрати разом дослідників, практиків і громадських діячів, щоб спільно осмислити: навколо яких цінностей і смислів можлива суспільна консолідація, яким має бути спільне благо для людей з різним досвідом і різними уявлення</w:t>
      </w:r>
      <w:r>
        <w:rPr>
          <w:color w:val="222222"/>
        </w:rPr>
        <w:t>ми про майбутнє, і яка роль інституцій, громадянського суспільства та духовних традицій у його творенні.</w:t>
      </w:r>
    </w:p>
    <w:p w14:paraId="6DEC476B" w14:textId="77777777" w:rsidR="00873AEC" w:rsidRDefault="00873AEC">
      <w:pPr>
        <w:spacing w:before="60"/>
      </w:pPr>
    </w:p>
    <w:p w14:paraId="5A275F84" w14:textId="77777777" w:rsidR="00FA2524" w:rsidRDefault="00FA2524">
      <w:pPr>
        <w:spacing w:before="60"/>
      </w:pPr>
    </w:p>
    <w:p w14:paraId="1C7CBB46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lastRenderedPageBreak/>
        <w:t>Програма конференції: дві панельні дискусії</w:t>
      </w:r>
    </w:p>
    <w:p w14:paraId="78293961" w14:textId="77777777" w:rsidR="00873AEC" w:rsidRDefault="00873AEC">
      <w:pPr>
        <w:spacing w:before="10"/>
      </w:pPr>
    </w:p>
    <w:p w14:paraId="608B2CFB" w14:textId="77777777" w:rsidR="00873AEC" w:rsidRDefault="00104D82">
      <w:pPr>
        <w:spacing w:after="100"/>
        <w:jc w:val="both"/>
      </w:pPr>
      <w:r>
        <w:rPr>
          <w:color w:val="222222"/>
        </w:rPr>
        <w:t>Конференція структурована як дві панельні дискусії, кожна з яких завершується відкритим обговоренням. Фі</w:t>
      </w:r>
      <w:r>
        <w:rPr>
          <w:color w:val="222222"/>
        </w:rPr>
        <w:t>нальна сесія — спільний синтез обох панелей.</w:t>
      </w:r>
    </w:p>
    <w:p w14:paraId="56498501" w14:textId="77777777" w:rsidR="00873AEC" w:rsidRDefault="00873AEC">
      <w:pPr>
        <w:spacing w:before="3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AEC" w14:paraId="70279471" w14:textId="77777777">
        <w:tc>
          <w:tcPr>
            <w:tcW w:w="9026" w:type="dxa"/>
            <w:tcBorders>
              <w:top w:val="single" w:sz="8" w:space="0" w:color="1D5C52"/>
              <w:left w:val="single" w:sz="8" w:space="0" w:color="1D5C52"/>
              <w:bottom w:val="single" w:sz="8" w:space="0" w:color="1D5C52"/>
              <w:right w:val="single" w:sz="8" w:space="0" w:color="1D5C52"/>
            </w:tcBorders>
            <w:shd w:val="clear" w:color="auto" w:fill="EBF5F3"/>
            <w:tcMar>
              <w:top w:w="130" w:type="dxa"/>
              <w:left w:w="180" w:type="dxa"/>
              <w:bottom w:w="130" w:type="dxa"/>
              <w:right w:w="150" w:type="dxa"/>
            </w:tcMar>
          </w:tcPr>
          <w:p w14:paraId="5D805FD0" w14:textId="77777777" w:rsidR="00873AEC" w:rsidRDefault="00104D82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D5C52"/>
                <w:sz w:val="20"/>
                <w:szCs w:val="20"/>
              </w:rPr>
              <w:t>ПАНЕЛЬ 1 · 10:20–12:10</w:t>
            </w:r>
          </w:p>
          <w:p w14:paraId="20E89059" w14:textId="77777777" w:rsidR="00873AEC" w:rsidRDefault="00104D82">
            <w:pPr>
              <w:spacing w:after="60"/>
              <w:rPr>
                <w:i/>
                <w:iCs/>
                <w:color w:val="555555"/>
                <w:sz w:val="18"/>
                <w:szCs w:val="18"/>
              </w:rPr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«Спільне благо як громадянський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проєкт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>»</w:t>
            </w:r>
          </w:p>
          <w:p w14:paraId="7CF809C9" w14:textId="7E1C4768" w:rsidR="00104D82" w:rsidRDefault="00104D82">
            <w:pPr>
              <w:spacing w:after="60"/>
            </w:pPr>
            <w:r>
              <w:rPr>
                <w:i/>
                <w:iCs/>
                <w:color w:val="555555"/>
                <w:sz w:val="18"/>
                <w:szCs w:val="18"/>
              </w:rPr>
              <w:t>Доповідачі:</w:t>
            </w:r>
          </w:p>
          <w:p w14:paraId="14F65B62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D5C52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 xml:space="preserve">Сергій </w:t>
            </w:r>
            <w:proofErr w:type="spellStart"/>
            <w:r>
              <w:rPr>
                <w:color w:val="222222"/>
                <w:sz w:val="18"/>
                <w:szCs w:val="18"/>
              </w:rPr>
              <w:t>Пролеєв</w:t>
            </w:r>
            <w:proofErr w:type="spellEnd"/>
          </w:p>
          <w:p w14:paraId="4A1C8928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D5C52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>Михайло Бойченко</w:t>
            </w:r>
          </w:p>
          <w:p w14:paraId="43C6931B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D5C52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 xml:space="preserve">Антон </w:t>
            </w:r>
            <w:proofErr w:type="spellStart"/>
            <w:r>
              <w:rPr>
                <w:color w:val="222222"/>
                <w:sz w:val="18"/>
                <w:szCs w:val="18"/>
              </w:rPr>
              <w:t>Дробович</w:t>
            </w:r>
            <w:proofErr w:type="spellEnd"/>
          </w:p>
          <w:p w14:paraId="340648E7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D5C52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 xml:space="preserve">Катерина </w:t>
            </w:r>
            <w:proofErr w:type="spellStart"/>
            <w:r>
              <w:rPr>
                <w:color w:val="222222"/>
                <w:sz w:val="18"/>
                <w:szCs w:val="18"/>
              </w:rPr>
              <w:t>Настояща</w:t>
            </w:r>
            <w:proofErr w:type="spellEnd"/>
          </w:p>
        </w:tc>
      </w:tr>
    </w:tbl>
    <w:p w14:paraId="39769AAD" w14:textId="77777777" w:rsidR="00873AEC" w:rsidRDefault="00873AEC">
      <w:pPr>
        <w:spacing w:before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AEC" w14:paraId="0A8001FD" w14:textId="77777777">
        <w:tc>
          <w:tcPr>
            <w:tcW w:w="9026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EBF0FA"/>
            <w:tcMar>
              <w:top w:w="130" w:type="dxa"/>
              <w:left w:w="180" w:type="dxa"/>
              <w:bottom w:w="130" w:type="dxa"/>
              <w:right w:w="150" w:type="dxa"/>
            </w:tcMar>
          </w:tcPr>
          <w:p w14:paraId="1618C0C8" w14:textId="77777777" w:rsidR="00873AEC" w:rsidRDefault="00104D82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F4E79"/>
                <w:sz w:val="20"/>
                <w:szCs w:val="20"/>
              </w:rPr>
              <w:t>ПАНЕЛЬ 2 · 13:00–14:50</w:t>
            </w:r>
          </w:p>
          <w:p w14:paraId="4EA87BA4" w14:textId="77777777" w:rsidR="00873AEC" w:rsidRDefault="00104D82">
            <w:pPr>
              <w:spacing w:after="60"/>
              <w:rPr>
                <w:i/>
                <w:iCs/>
                <w:color w:val="555555"/>
                <w:sz w:val="18"/>
                <w:szCs w:val="18"/>
              </w:rPr>
            </w:pPr>
            <w:r>
              <w:rPr>
                <w:i/>
                <w:iCs/>
                <w:color w:val="555555"/>
                <w:sz w:val="18"/>
                <w:szCs w:val="18"/>
              </w:rPr>
              <w:t>«Спільне благо як духовний і ціннісний горизонт»</w:t>
            </w:r>
          </w:p>
          <w:p w14:paraId="5740621A" w14:textId="77777777" w:rsidR="00104D82" w:rsidRDefault="00104D82" w:rsidP="00104D82">
            <w:pPr>
              <w:spacing w:after="60"/>
            </w:pPr>
            <w:r>
              <w:rPr>
                <w:i/>
                <w:iCs/>
                <w:color w:val="555555"/>
                <w:sz w:val="18"/>
                <w:szCs w:val="18"/>
              </w:rPr>
              <w:t>Доповідачі:</w:t>
            </w:r>
          </w:p>
          <w:p w14:paraId="309C2B41" w14:textId="77777777" w:rsidR="00873AEC" w:rsidRDefault="00104D82">
            <w:pPr>
              <w:spacing w:after="36"/>
              <w:ind w:left="20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 xml:space="preserve">Рена </w:t>
            </w:r>
            <w:proofErr w:type="spellStart"/>
            <w:r>
              <w:rPr>
                <w:color w:val="222222"/>
                <w:sz w:val="18"/>
                <w:szCs w:val="18"/>
              </w:rPr>
              <w:t>Марутян</w:t>
            </w:r>
            <w:proofErr w:type="spellEnd"/>
          </w:p>
          <w:p w14:paraId="72342CEF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 xml:space="preserve">Ірина </w:t>
            </w:r>
            <w:proofErr w:type="spellStart"/>
            <w:r>
              <w:rPr>
                <w:color w:val="222222"/>
                <w:sz w:val="18"/>
                <w:szCs w:val="18"/>
              </w:rPr>
              <w:t>Маслікова</w:t>
            </w:r>
            <w:proofErr w:type="spellEnd"/>
          </w:p>
          <w:p w14:paraId="56ACC23C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>Тетяна Деркач</w:t>
            </w:r>
          </w:p>
          <w:p w14:paraId="3CA469EA" w14:textId="77777777" w:rsidR="00873AEC" w:rsidRDefault="00104D82">
            <w:pPr>
              <w:spacing w:after="36"/>
              <w:ind w:left="20"/>
            </w:pPr>
            <w:r>
              <w:rPr>
                <w:rFonts w:ascii="Arial" w:eastAsia="Arial" w:hAnsi="Arial" w:cs="Arial"/>
                <w:b/>
                <w:bCs/>
                <w:color w:val="1F4E79"/>
                <w:sz w:val="18"/>
                <w:szCs w:val="18"/>
              </w:rPr>
              <w:t xml:space="preserve">— </w:t>
            </w:r>
            <w:r>
              <w:rPr>
                <w:color w:val="222222"/>
                <w:sz w:val="18"/>
                <w:szCs w:val="18"/>
              </w:rPr>
              <w:t xml:space="preserve">Віталій </w:t>
            </w:r>
            <w:proofErr w:type="spellStart"/>
            <w:r>
              <w:rPr>
                <w:color w:val="222222"/>
                <w:sz w:val="18"/>
                <w:szCs w:val="18"/>
              </w:rPr>
              <w:t>Хромець</w:t>
            </w:r>
            <w:proofErr w:type="spellEnd"/>
          </w:p>
        </w:tc>
      </w:tr>
    </w:tbl>
    <w:p w14:paraId="6BD9016D" w14:textId="77777777" w:rsidR="00873AEC" w:rsidRDefault="00873AEC">
      <w:pPr>
        <w:spacing w:before="20"/>
      </w:pPr>
    </w:p>
    <w:p w14:paraId="7F18AD7A" w14:textId="77777777" w:rsidR="00873AEC" w:rsidRDefault="00104D82">
      <w:pPr>
        <w:ind w:left="20"/>
      </w:pPr>
      <w:r>
        <w:rPr>
          <w:b/>
          <w:bCs/>
          <w:color w:val="1A2B4A"/>
          <w:sz w:val="18"/>
          <w:szCs w:val="18"/>
        </w:rPr>
        <w:t xml:space="preserve">Модератор обох панелей: </w:t>
      </w:r>
      <w:r>
        <w:rPr>
          <w:color w:val="333333"/>
          <w:sz w:val="18"/>
          <w:szCs w:val="18"/>
        </w:rPr>
        <w:t xml:space="preserve">Геннадій </w:t>
      </w:r>
      <w:proofErr w:type="spellStart"/>
      <w:r>
        <w:rPr>
          <w:color w:val="333333"/>
          <w:sz w:val="18"/>
          <w:szCs w:val="18"/>
        </w:rPr>
        <w:t>Христокін</w:t>
      </w:r>
      <w:proofErr w:type="spellEnd"/>
      <w:r>
        <w:rPr>
          <w:color w:val="333333"/>
          <w:sz w:val="18"/>
          <w:szCs w:val="18"/>
        </w:rPr>
        <w:t xml:space="preserve">, </w:t>
      </w:r>
      <w:proofErr w:type="spellStart"/>
      <w:r>
        <w:rPr>
          <w:color w:val="333333"/>
          <w:sz w:val="18"/>
          <w:szCs w:val="18"/>
        </w:rPr>
        <w:t>д.філос.н</w:t>
      </w:r>
      <w:proofErr w:type="spellEnd"/>
      <w:r>
        <w:rPr>
          <w:color w:val="333333"/>
          <w:sz w:val="18"/>
          <w:szCs w:val="18"/>
        </w:rPr>
        <w:t>., професор ДУ «КАІ»</w:t>
      </w:r>
    </w:p>
    <w:p w14:paraId="70C41D53" w14:textId="77777777" w:rsidR="00873AEC" w:rsidRDefault="00873AEC">
      <w:pPr>
        <w:spacing w:before="60"/>
      </w:pPr>
    </w:p>
    <w:p w14:paraId="2EA5EAAC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Тематичні напрямки конференції</w:t>
      </w:r>
    </w:p>
    <w:p w14:paraId="2E288328" w14:textId="77777777" w:rsidR="00873AEC" w:rsidRDefault="00873AEC">
      <w:pPr>
        <w:spacing w:before="10"/>
      </w:pPr>
    </w:p>
    <w:p w14:paraId="633C519F" w14:textId="77777777" w:rsidR="00873AEC" w:rsidRDefault="00104D82">
      <w:pPr>
        <w:spacing w:after="100"/>
        <w:jc w:val="both"/>
      </w:pPr>
      <w:r>
        <w:rPr>
          <w:color w:val="222222"/>
        </w:rPr>
        <w:t xml:space="preserve">До участі приймаються доповіді, що охоплюють проблематику спільного блага в </w:t>
      </w:r>
      <w:r>
        <w:rPr>
          <w:color w:val="222222"/>
        </w:rPr>
        <w:t>таких аспектах:</w:t>
      </w:r>
    </w:p>
    <w:p w14:paraId="1C143487" w14:textId="77777777" w:rsidR="00873AEC" w:rsidRDefault="00873AEC">
      <w:pPr>
        <w:spacing w:before="20"/>
      </w:pPr>
    </w:p>
    <w:p w14:paraId="4E2FEADF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1.  </w:t>
      </w:r>
      <w:r>
        <w:rPr>
          <w:color w:val="222222"/>
          <w:sz w:val="20"/>
          <w:szCs w:val="20"/>
        </w:rPr>
        <w:t>Філософські та етичні виміри спільного блага: концептуалізація поняття, його місце в класичній і сучасній думці, актуальність для українського контексту.</w:t>
      </w:r>
    </w:p>
    <w:p w14:paraId="1F523FF6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2.  </w:t>
      </w:r>
      <w:r>
        <w:rPr>
          <w:color w:val="222222"/>
          <w:sz w:val="20"/>
          <w:szCs w:val="20"/>
        </w:rPr>
        <w:t>Соціологічний і соціальний вимір: соціальна згуртованість, соціальний капітал</w:t>
      </w:r>
      <w:r>
        <w:rPr>
          <w:color w:val="222222"/>
          <w:sz w:val="20"/>
          <w:szCs w:val="20"/>
        </w:rPr>
        <w:t>, суспільна довіра як основи спільного блага в умовах тривалої кризи.</w:t>
      </w:r>
    </w:p>
    <w:p w14:paraId="316C76C4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3.  </w:t>
      </w:r>
      <w:r>
        <w:rPr>
          <w:color w:val="222222"/>
          <w:sz w:val="20"/>
          <w:szCs w:val="20"/>
        </w:rPr>
        <w:t>Громадянський і політичний вимір: роль громадянського суспільства, держави та інституцій у формуванні і захисті спільного блага; спільне благо в демократичному врядуванні.</w:t>
      </w:r>
    </w:p>
    <w:p w14:paraId="29151219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4.  </w:t>
      </w:r>
      <w:r>
        <w:rPr>
          <w:color w:val="222222"/>
          <w:sz w:val="20"/>
          <w:szCs w:val="20"/>
        </w:rPr>
        <w:t>Економ</w:t>
      </w:r>
      <w:r>
        <w:rPr>
          <w:color w:val="222222"/>
          <w:sz w:val="20"/>
          <w:szCs w:val="20"/>
        </w:rPr>
        <w:t>ічний і правовий вимір: спільне благо як категорія публічної політики; справедливий розподіл ресурсів відбудови.</w:t>
      </w:r>
    </w:p>
    <w:p w14:paraId="28641B35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5.  </w:t>
      </w:r>
      <w:r>
        <w:rPr>
          <w:color w:val="222222"/>
          <w:sz w:val="20"/>
          <w:szCs w:val="20"/>
        </w:rPr>
        <w:t>Повоєнне відновлення і розбудова суспільства злагоди: примирення, відновна справедливість, культура миру, подолання суспільних розколів.</w:t>
      </w:r>
    </w:p>
    <w:p w14:paraId="237476BB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>6.</w:t>
      </w:r>
      <w:r>
        <w:rPr>
          <w:b/>
          <w:bCs/>
          <w:color w:val="1D5C52"/>
          <w:sz w:val="20"/>
          <w:szCs w:val="20"/>
        </w:rPr>
        <w:t xml:space="preserve">  </w:t>
      </w:r>
      <w:r>
        <w:rPr>
          <w:color w:val="222222"/>
          <w:sz w:val="20"/>
          <w:szCs w:val="20"/>
        </w:rPr>
        <w:t>Відновлення України: конкретні виклики і можливості — роль громад, малих міст, молоді, регіональний вимір відбудови.</w:t>
      </w:r>
    </w:p>
    <w:p w14:paraId="45FB996F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7.  </w:t>
      </w:r>
      <w:r>
        <w:rPr>
          <w:color w:val="222222"/>
          <w:sz w:val="20"/>
          <w:szCs w:val="20"/>
        </w:rPr>
        <w:t>Духовний і релігійний вимір: роль Церкви і релігійних спільнот у творенні суспільного блага; православна традиція і питання єдності.</w:t>
      </w:r>
    </w:p>
    <w:p w14:paraId="603A0553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8.  </w:t>
      </w:r>
      <w:r>
        <w:rPr>
          <w:color w:val="222222"/>
          <w:sz w:val="20"/>
          <w:szCs w:val="20"/>
        </w:rPr>
        <w:t>Молодь і майбутнє: ціннісні орієнтири нового покоління, участь молоді у відбудові.</w:t>
      </w:r>
    </w:p>
    <w:p w14:paraId="2CEB1E5D" w14:textId="77777777" w:rsidR="00873AEC" w:rsidRDefault="00873AEC">
      <w:pPr>
        <w:spacing w:before="60"/>
      </w:pPr>
    </w:p>
    <w:p w14:paraId="52F8AE20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Форми участі</w:t>
      </w:r>
    </w:p>
    <w:p w14:paraId="293CE163" w14:textId="77777777" w:rsidR="00873AEC" w:rsidRDefault="00873AEC">
      <w:pPr>
        <w:spacing w:before="10"/>
      </w:pPr>
    </w:p>
    <w:p w14:paraId="1F9F4BB0" w14:textId="77777777" w:rsidR="00873AEC" w:rsidRDefault="00104D82">
      <w:pPr>
        <w:spacing w:after="60"/>
        <w:ind w:left="280"/>
      </w:pPr>
      <w:r>
        <w:rPr>
          <w:b/>
          <w:bCs/>
          <w:color w:val="1D5C52"/>
          <w:sz w:val="20"/>
          <w:szCs w:val="20"/>
        </w:rPr>
        <w:t xml:space="preserve">— </w:t>
      </w:r>
      <w:r>
        <w:rPr>
          <w:color w:val="222222"/>
          <w:sz w:val="20"/>
          <w:szCs w:val="20"/>
        </w:rPr>
        <w:t>очна доповідь на конференції (до 20 хв.) з подальшою дискусією</w:t>
      </w:r>
    </w:p>
    <w:p w14:paraId="3D2765AC" w14:textId="77777777" w:rsidR="00873AEC" w:rsidRDefault="00104D82">
      <w:pPr>
        <w:spacing w:after="60"/>
        <w:ind w:left="280"/>
      </w:pPr>
      <w:r>
        <w:rPr>
          <w:b/>
          <w:bCs/>
          <w:color w:val="1D5C52"/>
          <w:sz w:val="20"/>
          <w:szCs w:val="20"/>
        </w:rPr>
        <w:t xml:space="preserve">— </w:t>
      </w:r>
      <w:r>
        <w:rPr>
          <w:color w:val="222222"/>
          <w:sz w:val="20"/>
          <w:szCs w:val="20"/>
        </w:rPr>
        <w:t>очна участь в обговоренні</w:t>
      </w:r>
    </w:p>
    <w:p w14:paraId="2B743CF2" w14:textId="77777777" w:rsidR="00873AEC" w:rsidRDefault="00104D82">
      <w:pPr>
        <w:spacing w:after="60"/>
        <w:ind w:left="280"/>
      </w:pPr>
      <w:r>
        <w:rPr>
          <w:b/>
          <w:bCs/>
          <w:color w:val="1D5C52"/>
          <w:sz w:val="20"/>
          <w:szCs w:val="20"/>
        </w:rPr>
        <w:t xml:space="preserve">— </w:t>
      </w:r>
      <w:r>
        <w:rPr>
          <w:color w:val="222222"/>
          <w:sz w:val="20"/>
          <w:szCs w:val="20"/>
        </w:rPr>
        <w:t>участь без доповіді</w:t>
      </w:r>
    </w:p>
    <w:p w14:paraId="2552D201" w14:textId="58E7DF6E" w:rsidR="00873AEC" w:rsidRDefault="00104D82">
      <w:pPr>
        <w:spacing w:after="60"/>
        <w:ind w:left="280"/>
      </w:pPr>
      <w:r>
        <w:rPr>
          <w:b/>
          <w:bCs/>
          <w:color w:val="1D5C52"/>
          <w:sz w:val="20"/>
          <w:szCs w:val="20"/>
        </w:rPr>
        <w:lastRenderedPageBreak/>
        <w:t xml:space="preserve">— </w:t>
      </w:r>
      <w:r>
        <w:rPr>
          <w:color w:val="222222"/>
          <w:sz w:val="20"/>
          <w:szCs w:val="20"/>
        </w:rPr>
        <w:t xml:space="preserve">онлайн-участь за посиланням: </w:t>
      </w:r>
      <w:hyperlink r:id="rId6" w:history="1">
        <w:r w:rsidR="00FA2524" w:rsidRPr="008D2A90">
          <w:rPr>
            <w:rStyle w:val="a5"/>
            <w:sz w:val="20"/>
            <w:szCs w:val="20"/>
          </w:rPr>
          <w:t>https://us04web.zoom.us/j/72347853063?pwd=OQUN66HTZX7qMdcAfoeBtxv62Zj0NI.1</w:t>
        </w:r>
      </w:hyperlink>
      <w:r w:rsidR="00FA2524">
        <w:rPr>
          <w:color w:val="222222"/>
          <w:sz w:val="20"/>
          <w:szCs w:val="20"/>
        </w:rPr>
        <w:t xml:space="preserve"> </w:t>
      </w:r>
    </w:p>
    <w:p w14:paraId="754F2BC7" w14:textId="77777777" w:rsidR="00873AEC" w:rsidRDefault="00104D82">
      <w:pPr>
        <w:spacing w:after="60"/>
        <w:ind w:left="280"/>
      </w:pPr>
      <w:r>
        <w:rPr>
          <w:b/>
          <w:bCs/>
          <w:color w:val="1D5C52"/>
          <w:sz w:val="20"/>
          <w:szCs w:val="20"/>
        </w:rPr>
        <w:t xml:space="preserve">— </w:t>
      </w:r>
      <w:r>
        <w:rPr>
          <w:color w:val="222222"/>
          <w:sz w:val="20"/>
          <w:szCs w:val="20"/>
        </w:rPr>
        <w:t>публікація тез у електронному збірнику конференції</w:t>
      </w:r>
    </w:p>
    <w:p w14:paraId="794F7311" w14:textId="77777777" w:rsidR="00873AEC" w:rsidRDefault="00873AEC">
      <w:pPr>
        <w:spacing w:before="10"/>
      </w:pPr>
    </w:p>
    <w:p w14:paraId="77FE4417" w14:textId="77777777" w:rsidR="00873AEC" w:rsidRDefault="00104D82">
      <w:pPr>
        <w:spacing w:after="100"/>
        <w:jc w:val="both"/>
      </w:pPr>
      <w:r>
        <w:rPr>
          <w:color w:val="222222"/>
        </w:rPr>
        <w:t>Мова конференції: українська. Усі доп</w:t>
      </w:r>
      <w:r>
        <w:rPr>
          <w:color w:val="222222"/>
        </w:rPr>
        <w:t xml:space="preserve">овіді записуються і публікуються на YouTube-каналі </w:t>
      </w:r>
      <w:proofErr w:type="spellStart"/>
      <w:r>
        <w:rPr>
          <w:color w:val="222222"/>
        </w:rPr>
        <w:t>проєкту</w:t>
      </w:r>
      <w:proofErr w:type="spellEnd"/>
      <w:r>
        <w:rPr>
          <w:color w:val="222222"/>
        </w:rPr>
        <w:t>.</w:t>
      </w:r>
    </w:p>
    <w:p w14:paraId="70871C5D" w14:textId="77777777" w:rsidR="00873AEC" w:rsidRDefault="00873AEC">
      <w:pPr>
        <w:spacing w:before="60"/>
      </w:pPr>
    </w:p>
    <w:p w14:paraId="0A581F4A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Вимоги до оформлення тез</w:t>
      </w:r>
    </w:p>
    <w:p w14:paraId="71B504F7" w14:textId="77777777" w:rsidR="00873AEC" w:rsidRDefault="00873AEC">
      <w:pPr>
        <w:spacing w:before="1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AEC" w14:paraId="30DA8861" w14:textId="77777777">
        <w:tc>
          <w:tcPr>
            <w:tcW w:w="9026" w:type="dxa"/>
            <w:tcBorders>
              <w:left w:val="single" w:sz="18" w:space="0" w:color="7B5800"/>
            </w:tcBorders>
            <w:shd w:val="clear" w:color="auto" w:fill="FBF6EC"/>
            <w:tcMar>
              <w:top w:w="100" w:type="dxa"/>
              <w:left w:w="200" w:type="dxa"/>
              <w:bottom w:w="100" w:type="dxa"/>
              <w:right w:w="130" w:type="dxa"/>
            </w:tcMar>
          </w:tcPr>
          <w:p w14:paraId="488C6294" w14:textId="77777777" w:rsidR="00873AEC" w:rsidRDefault="00104D82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olor w:val="1A2B4A"/>
                <w:sz w:val="19"/>
                <w:szCs w:val="19"/>
              </w:rPr>
              <w:t>Структура тез:</w:t>
            </w:r>
          </w:p>
          <w:p w14:paraId="4CAEA281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 xml:space="preserve">Назва доповіді — по центру, шрифт </w:t>
            </w:r>
            <w:proofErr w:type="spellStart"/>
            <w:r>
              <w:rPr>
                <w:color w:val="222222"/>
                <w:sz w:val="20"/>
                <w:szCs w:val="20"/>
              </w:rPr>
              <w:t>Times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New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Roman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14, жирний, усі букви прописні</w:t>
            </w:r>
          </w:p>
          <w:p w14:paraId="629D076D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Відомості про автора: ПІБ, науковий ступінь, посада, місце роботи, e-</w:t>
            </w:r>
            <w:proofErr w:type="spellStart"/>
            <w:r>
              <w:rPr>
                <w:color w:val="222222"/>
                <w:sz w:val="20"/>
                <w:szCs w:val="20"/>
              </w:rPr>
              <w:t>mail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, телефон — по правому краю, </w:t>
            </w:r>
            <w:proofErr w:type="spellStart"/>
            <w:r>
              <w:rPr>
                <w:color w:val="222222"/>
                <w:sz w:val="20"/>
                <w:szCs w:val="20"/>
              </w:rPr>
              <w:t>Arial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12</w:t>
            </w:r>
          </w:p>
          <w:p w14:paraId="3D32D543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 xml:space="preserve">Анотація (100–150 знаків) і 4–6 ключових слів — </w:t>
            </w:r>
            <w:proofErr w:type="spellStart"/>
            <w:r>
              <w:rPr>
                <w:color w:val="222222"/>
                <w:sz w:val="20"/>
                <w:szCs w:val="20"/>
              </w:rPr>
              <w:t>Times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New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Roman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10, жирний</w:t>
            </w:r>
          </w:p>
          <w:p w14:paraId="622C3E0F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Основний текст тез — обсяг до 5 сторінок А4</w:t>
            </w:r>
          </w:p>
          <w:p w14:paraId="5655B3AB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Список використаних джерел — після основного тексту, нумерований</w:t>
            </w:r>
          </w:p>
        </w:tc>
      </w:tr>
    </w:tbl>
    <w:p w14:paraId="4AAEC23C" w14:textId="77777777" w:rsidR="00873AEC" w:rsidRDefault="00873AEC">
      <w:pPr>
        <w:spacing w:before="3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AEC" w14:paraId="63971D57" w14:textId="77777777">
        <w:tc>
          <w:tcPr>
            <w:tcW w:w="9026" w:type="dxa"/>
            <w:tcBorders>
              <w:left w:val="single" w:sz="18" w:space="0" w:color="1D5C52"/>
            </w:tcBorders>
            <w:shd w:val="clear" w:color="auto" w:fill="EBF5F3"/>
            <w:tcMar>
              <w:top w:w="100" w:type="dxa"/>
              <w:left w:w="200" w:type="dxa"/>
              <w:bottom w:w="100" w:type="dxa"/>
              <w:right w:w="130" w:type="dxa"/>
            </w:tcMar>
          </w:tcPr>
          <w:p w14:paraId="2D5E5F33" w14:textId="77777777" w:rsidR="00873AEC" w:rsidRDefault="00104D82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olor w:val="1A2B4A"/>
                <w:sz w:val="19"/>
                <w:szCs w:val="19"/>
              </w:rPr>
              <w:t>Технічні вимоги:</w:t>
            </w:r>
          </w:p>
          <w:p w14:paraId="1876F47B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Формат паперу А4</w:t>
            </w:r>
          </w:p>
          <w:p w14:paraId="268DDB11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 xml:space="preserve">Шрифт основного тексту: </w:t>
            </w:r>
            <w:proofErr w:type="spellStart"/>
            <w:r>
              <w:rPr>
                <w:color w:val="222222"/>
                <w:sz w:val="20"/>
                <w:szCs w:val="20"/>
              </w:rPr>
              <w:t>Times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New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Roman</w:t>
            </w:r>
            <w:proofErr w:type="spellEnd"/>
            <w:r>
              <w:rPr>
                <w:color w:val="222222"/>
                <w:sz w:val="20"/>
                <w:szCs w:val="20"/>
              </w:rPr>
              <w:t>, кегль 14</w:t>
            </w:r>
          </w:p>
          <w:p w14:paraId="2B19E07C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Міжрядковий інтервал: 1,5</w:t>
            </w:r>
          </w:p>
          <w:p w14:paraId="1AC5CF90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Поля з усіх сторін: 2 см</w:t>
            </w:r>
          </w:p>
          <w:p w14:paraId="31B88AF9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Абзацний відступ: 1,25 см; вирівнювання по ширині</w:t>
            </w:r>
          </w:p>
          <w:p w14:paraId="0FB84D20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 xml:space="preserve">Бібліографічні посилання у тексті: [номер джерела; с. номер] — напр. [3; с. </w:t>
            </w:r>
            <w:r>
              <w:rPr>
                <w:color w:val="222222"/>
                <w:sz w:val="20"/>
                <w:szCs w:val="20"/>
              </w:rPr>
              <w:t>45]</w:t>
            </w:r>
          </w:p>
          <w:p w14:paraId="2C736FDC" w14:textId="77777777" w:rsidR="00873AEC" w:rsidRDefault="00104D82">
            <w:pPr>
              <w:spacing w:after="60"/>
              <w:ind w:left="280"/>
            </w:pPr>
            <w:r>
              <w:rPr>
                <w:b/>
                <w:bCs/>
                <w:color w:val="1D5C52"/>
                <w:sz w:val="20"/>
                <w:szCs w:val="20"/>
              </w:rPr>
              <w:t xml:space="preserve">— </w:t>
            </w:r>
            <w:r>
              <w:rPr>
                <w:color w:val="222222"/>
                <w:sz w:val="20"/>
                <w:szCs w:val="20"/>
              </w:rPr>
              <w:t>Бібліографія оформлюється за стандартом ДСТУ 2015</w:t>
            </w:r>
          </w:p>
        </w:tc>
      </w:tr>
    </w:tbl>
    <w:p w14:paraId="374D8B51" w14:textId="77777777" w:rsidR="00873AEC" w:rsidRDefault="00873AEC">
      <w:pPr>
        <w:spacing w:before="60"/>
      </w:pPr>
    </w:p>
    <w:p w14:paraId="34E66DCE" w14:textId="77777777" w:rsidR="00873AEC" w:rsidRDefault="00104D82">
      <w:pPr>
        <w:spacing w:before="220" w:after="80"/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  <w:lang w:val="ru-RU"/>
        </w:rPr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Подача тез і реєстрація</w:t>
      </w:r>
    </w:p>
    <w:p w14:paraId="2F34F405" w14:textId="4211E285" w:rsidR="00CE291B" w:rsidRPr="00CE291B" w:rsidRDefault="00CE291B" w:rsidP="00CE291B">
      <w:pPr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</w:pPr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Для </w:t>
      </w:r>
      <w:proofErr w:type="spellStart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доповідачів</w:t>
      </w:r>
      <w:proofErr w:type="spellEnd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 подача тез 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є </w:t>
      </w:r>
      <w:proofErr w:type="spellStart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обовʼязково</w:t>
      </w:r>
      <w:r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ю</w:t>
      </w:r>
      <w:proofErr w:type="spellEnd"/>
      <w:proofErr w:type="gramStart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 ,</w:t>
      </w:r>
      <w:proofErr w:type="gramEnd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 для </w:t>
      </w:r>
      <w:proofErr w:type="spellStart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учасників</w:t>
      </w:r>
      <w:proofErr w:type="spellEnd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 - за </w:t>
      </w:r>
      <w:proofErr w:type="spellStart"/>
      <w:r w:rsidRPr="00CE291B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бажанням</w:t>
      </w:r>
      <w:proofErr w:type="spellEnd"/>
    </w:p>
    <w:p w14:paraId="070F4757" w14:textId="77777777" w:rsidR="00873AEC" w:rsidRPr="00CE291B" w:rsidRDefault="00873AEC">
      <w:pPr>
        <w:spacing w:before="10"/>
        <w:rPr>
          <w:lang w:val="ru-RU"/>
        </w:rPr>
      </w:pPr>
    </w:p>
    <w:p w14:paraId="70307D5D" w14:textId="77777777" w:rsidR="00873AEC" w:rsidRDefault="00104D82">
      <w:pPr>
        <w:spacing w:after="100"/>
        <w:jc w:val="both"/>
      </w:pPr>
      <w:r>
        <w:rPr>
          <w:color w:val="222222"/>
        </w:rPr>
        <w:t>Для участі у конференції просимо:</w:t>
      </w:r>
    </w:p>
    <w:p w14:paraId="0F4651CC" w14:textId="77777777" w:rsidR="00873AEC" w:rsidRDefault="00873AEC">
      <w:pPr>
        <w:spacing w:before="10"/>
      </w:pPr>
    </w:p>
    <w:p w14:paraId="17BCC013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1.  </w:t>
      </w:r>
      <w:r>
        <w:rPr>
          <w:color w:val="222222"/>
          <w:sz w:val="20"/>
          <w:szCs w:val="20"/>
        </w:rPr>
        <w:t>Заповнити форму реєстрації за посиланням:</w:t>
      </w:r>
    </w:p>
    <w:p w14:paraId="3F215EE3" w14:textId="4DD30994" w:rsidR="00873AEC" w:rsidRDefault="00104D82">
      <w:pPr>
        <w:spacing w:before="10" w:after="40"/>
        <w:ind w:left="300"/>
      </w:pPr>
      <w:hyperlink r:id="rId7" w:history="1">
        <w:r w:rsidR="00FA2524" w:rsidRPr="008D2A90">
          <w:rPr>
            <w:rStyle w:val="a5"/>
            <w:rFonts w:ascii="Arial" w:eastAsia="Arial" w:hAnsi="Arial" w:cs="Arial"/>
            <w:sz w:val="19"/>
            <w:szCs w:val="19"/>
          </w:rPr>
          <w:t>https://forms.gle/mxto14duSrHYsnV66</w:t>
        </w:r>
      </w:hyperlink>
      <w:r w:rsidR="00FA2524">
        <w:rPr>
          <w:rFonts w:ascii="Arial" w:eastAsia="Arial" w:hAnsi="Arial" w:cs="Arial"/>
          <w:color w:val="1D5C52"/>
          <w:sz w:val="19"/>
          <w:szCs w:val="19"/>
          <w:u w:val="single" w:color="1D5C52"/>
        </w:rPr>
        <w:t xml:space="preserve"> </w:t>
      </w:r>
    </w:p>
    <w:p w14:paraId="7E41F6F7" w14:textId="77777777" w:rsidR="00873AEC" w:rsidRDefault="00104D82">
      <w:pPr>
        <w:spacing w:after="60"/>
        <w:ind w:left="300" w:hanging="260"/>
      </w:pPr>
      <w:r>
        <w:rPr>
          <w:b/>
          <w:bCs/>
          <w:color w:val="1D5C52"/>
          <w:sz w:val="20"/>
          <w:szCs w:val="20"/>
        </w:rPr>
        <w:t xml:space="preserve">2.  </w:t>
      </w:r>
      <w:r>
        <w:rPr>
          <w:color w:val="222222"/>
          <w:sz w:val="20"/>
          <w:szCs w:val="20"/>
        </w:rPr>
        <w:t>Надіслати тези доповіді на електронну адресу:</w:t>
      </w:r>
    </w:p>
    <w:p w14:paraId="43AC4D07" w14:textId="77777777" w:rsidR="00873AEC" w:rsidRDefault="00104D82">
      <w:pPr>
        <w:spacing w:before="10" w:after="40"/>
        <w:ind w:left="300"/>
      </w:pPr>
      <w:r>
        <w:rPr>
          <w:rFonts w:ascii="Arial" w:eastAsia="Arial" w:hAnsi="Arial" w:cs="Arial"/>
          <w:b/>
          <w:bCs/>
          <w:color w:val="1D5C52"/>
          <w:sz w:val="19"/>
          <w:szCs w:val="19"/>
        </w:rPr>
        <w:t>xristokingena@gmail.com</w:t>
      </w:r>
    </w:p>
    <w:p w14:paraId="4413E394" w14:textId="77777777" w:rsidR="00873AEC" w:rsidRDefault="00873AEC">
      <w:pPr>
        <w:spacing w:before="10"/>
      </w:pPr>
    </w:p>
    <w:p w14:paraId="4A0E7D08" w14:textId="77777777" w:rsidR="00873AEC" w:rsidRDefault="00104D82">
      <w:pPr>
        <w:spacing w:after="100"/>
        <w:jc w:val="both"/>
      </w:pPr>
      <w:r>
        <w:rPr>
          <w:color w:val="222222"/>
        </w:rPr>
        <w:t>У темі листа вказати: Тези / Конференція «Спільне благо» / Прізвище автора.</w:t>
      </w:r>
    </w:p>
    <w:p w14:paraId="28DF74B3" w14:textId="77777777" w:rsidR="00873AEC" w:rsidRDefault="00104D82">
      <w:pPr>
        <w:spacing w:after="100"/>
        <w:jc w:val="both"/>
      </w:pPr>
      <w:r>
        <w:rPr>
          <w:color w:val="222222"/>
        </w:rPr>
        <w:t>Файл назвати: Прізвище_Ім'я_тези.docx</w:t>
      </w:r>
    </w:p>
    <w:p w14:paraId="1F8CB3DF" w14:textId="77777777" w:rsidR="00873AEC" w:rsidRDefault="00873AEC">
      <w:pPr>
        <w:spacing w:before="3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AEC" w14:paraId="09B7819E" w14:textId="77777777">
        <w:tc>
          <w:tcPr>
            <w:tcW w:w="9026" w:type="dxa"/>
            <w:tcBorders>
              <w:left w:val="single" w:sz="18" w:space="0" w:color="7B5800"/>
            </w:tcBorders>
            <w:shd w:val="clear" w:color="auto" w:fill="FBF6EC"/>
            <w:tcMar>
              <w:top w:w="100" w:type="dxa"/>
              <w:left w:w="200" w:type="dxa"/>
              <w:bottom w:w="100" w:type="dxa"/>
              <w:right w:w="130" w:type="dxa"/>
            </w:tcMar>
          </w:tcPr>
          <w:p w14:paraId="73DD385E" w14:textId="77777777" w:rsidR="00873AEC" w:rsidRDefault="00104D82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7B5800"/>
                <w:sz w:val="20"/>
                <w:szCs w:val="20"/>
              </w:rPr>
              <w:t>Дедлайн подачі тез: 2 червня 2026 р.</w:t>
            </w:r>
          </w:p>
          <w:p w14:paraId="08C85D7F" w14:textId="77777777" w:rsidR="00873AEC" w:rsidRDefault="00104D82">
            <w:pPr>
              <w:spacing w:before="10"/>
            </w:pPr>
            <w:r>
              <w:rPr>
                <w:color w:val="1A2B4A"/>
                <w:sz w:val="19"/>
                <w:szCs w:val="19"/>
              </w:rPr>
              <w:t>Публікація тез — безкоштовна.</w:t>
            </w:r>
            <w:r>
              <w:rPr>
                <w:color w:val="1A2B4A"/>
                <w:sz w:val="19"/>
                <w:szCs w:val="19"/>
              </w:rPr>
              <w:t xml:space="preserve"> Усі учасники отримають збірник в електронному форматі.</w:t>
            </w:r>
          </w:p>
        </w:tc>
      </w:tr>
    </w:tbl>
    <w:p w14:paraId="5FF451E1" w14:textId="77777777" w:rsidR="00873AEC" w:rsidRDefault="00873AEC">
      <w:pPr>
        <w:spacing w:before="60"/>
      </w:pPr>
    </w:p>
    <w:p w14:paraId="3AF60984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Оргкомітет</w:t>
      </w:r>
    </w:p>
    <w:p w14:paraId="0BD7F28F" w14:textId="77777777" w:rsidR="00873AEC" w:rsidRDefault="00873AEC">
      <w:pPr>
        <w:spacing w:before="1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873AEC" w14:paraId="00FD3C1B" w14:textId="77777777">
        <w:tc>
          <w:tcPr>
            <w:tcW w:w="3200" w:type="dxa"/>
            <w:tcBorders>
              <w:top w:val="single" w:sz="3" w:space="0" w:color="E0E0E0"/>
              <w:left w:val="single" w:sz="3" w:space="0" w:color="E0E0E0"/>
              <w:bottom w:val="single" w:sz="3" w:space="0" w:color="E0E0E0"/>
              <w:right w:val="single" w:sz="3" w:space="0" w:color="E0E0E0"/>
            </w:tcBorders>
            <w:shd w:val="clear" w:color="auto" w:fill="F7F7F7"/>
            <w:tcMar>
              <w:top w:w="80" w:type="dxa"/>
              <w:left w:w="110" w:type="dxa"/>
              <w:bottom w:w="80" w:type="dxa"/>
              <w:right w:w="90" w:type="dxa"/>
            </w:tcMar>
          </w:tcPr>
          <w:p w14:paraId="7681171C" w14:textId="77777777" w:rsidR="00873AEC" w:rsidRDefault="00104D82"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t>Голова оргкомітету:</w:t>
            </w:r>
          </w:p>
        </w:tc>
        <w:tc>
          <w:tcPr>
            <w:tcW w:w="5826" w:type="dxa"/>
            <w:tcBorders>
              <w:top w:val="single" w:sz="3" w:space="0" w:color="E0E0E0"/>
              <w:left w:val="single" w:sz="3" w:space="0" w:color="E0E0E0"/>
              <w:bottom w:val="single" w:sz="3" w:space="0" w:color="E0E0E0"/>
              <w:right w:val="single" w:sz="3" w:space="0" w:color="E0E0E0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90" w:type="dxa"/>
            </w:tcMar>
          </w:tcPr>
          <w:p w14:paraId="51609218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Геннадій Христокін</w:t>
            </w:r>
          </w:p>
          <w:p w14:paraId="00D1858E" w14:textId="77777777" w:rsidR="00873AEC" w:rsidRDefault="00104D82">
            <w:pPr>
              <w:spacing w:after="24"/>
            </w:pPr>
            <w:proofErr w:type="spellStart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lastRenderedPageBreak/>
              <w:t>д.філос.н</w:t>
            </w:r>
            <w:proofErr w:type="spellEnd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., проф. ДУ «КАІ», керівник наукового напрямку</w:t>
            </w:r>
          </w:p>
        </w:tc>
      </w:tr>
      <w:tr w:rsidR="00873AEC" w14:paraId="7AACAC1E" w14:textId="77777777">
        <w:tc>
          <w:tcPr>
            <w:tcW w:w="3200" w:type="dxa"/>
            <w:tcBorders>
              <w:top w:val="single" w:sz="3" w:space="0" w:color="E0E0E0"/>
              <w:left w:val="single" w:sz="3" w:space="0" w:color="E0E0E0"/>
              <w:bottom w:val="single" w:sz="3" w:space="0" w:color="E0E0E0"/>
              <w:right w:val="single" w:sz="3" w:space="0" w:color="E0E0E0"/>
            </w:tcBorders>
            <w:shd w:val="clear" w:color="auto" w:fill="F7F7F7"/>
            <w:tcMar>
              <w:top w:w="80" w:type="dxa"/>
              <w:left w:w="110" w:type="dxa"/>
              <w:bottom w:w="80" w:type="dxa"/>
              <w:right w:w="90" w:type="dxa"/>
            </w:tcMar>
          </w:tcPr>
          <w:p w14:paraId="0DF78F09" w14:textId="77777777" w:rsidR="00873AEC" w:rsidRDefault="00104D82">
            <w:r>
              <w:rPr>
                <w:rFonts w:ascii="Arial" w:eastAsia="Arial" w:hAnsi="Arial" w:cs="Arial"/>
                <w:b/>
                <w:bCs/>
                <w:color w:val="1D5C52"/>
                <w:sz w:val="17"/>
                <w:szCs w:val="17"/>
              </w:rPr>
              <w:lastRenderedPageBreak/>
              <w:t>Організаційні питання:</w:t>
            </w:r>
          </w:p>
        </w:tc>
        <w:tc>
          <w:tcPr>
            <w:tcW w:w="5826" w:type="dxa"/>
            <w:tcBorders>
              <w:top w:val="single" w:sz="3" w:space="0" w:color="E0E0E0"/>
              <w:left w:val="single" w:sz="3" w:space="0" w:color="E0E0E0"/>
              <w:bottom w:val="single" w:sz="3" w:space="0" w:color="E0E0E0"/>
              <w:right w:val="single" w:sz="3" w:space="0" w:color="E0E0E0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90" w:type="dxa"/>
            </w:tcMar>
          </w:tcPr>
          <w:p w14:paraId="6D370639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 xml:space="preserve">Марина </w:t>
            </w:r>
            <w:proofErr w:type="spellStart"/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Бурдейна</w:t>
            </w:r>
            <w:proofErr w:type="spellEnd"/>
          </w:p>
          <w:p w14:paraId="72F6A1DE" w14:textId="77777777" w:rsidR="00873AEC" w:rsidRDefault="00104D82">
            <w:pPr>
              <w:spacing w:after="24"/>
            </w:pPr>
            <w:r>
              <w:rPr>
                <w:rFonts w:ascii="Arial" w:eastAsia="Arial" w:hAnsi="Arial" w:cs="Arial"/>
                <w:color w:val="1A2B4A"/>
                <w:sz w:val="17"/>
                <w:szCs w:val="17"/>
              </w:rPr>
              <w:t>голова правління ГО «Софійське Братство»</w:t>
            </w:r>
          </w:p>
        </w:tc>
      </w:tr>
    </w:tbl>
    <w:p w14:paraId="4D53FF72" w14:textId="77777777" w:rsidR="00873AEC" w:rsidRDefault="00873AEC">
      <w:pPr>
        <w:spacing w:before="60"/>
      </w:pPr>
    </w:p>
    <w:p w14:paraId="2A7B9EB1" w14:textId="77777777" w:rsidR="00873AEC" w:rsidRDefault="00873AEC">
      <w:pPr>
        <w:pBdr>
          <w:bottom w:val="single" w:sz="6" w:space="0" w:color="7B5800"/>
        </w:pBdr>
        <w:spacing w:before="28" w:after="28"/>
      </w:pPr>
    </w:p>
    <w:p w14:paraId="6383C3D1" w14:textId="77777777" w:rsidR="00873AEC" w:rsidRDefault="00873AEC">
      <w:pPr>
        <w:spacing w:before="40"/>
      </w:pPr>
    </w:p>
    <w:p w14:paraId="50FC08C2" w14:textId="77777777" w:rsidR="00873AEC" w:rsidRDefault="00104D82">
      <w:pPr>
        <w:spacing w:before="220" w:after="80"/>
      </w:pPr>
      <w:r>
        <w:rPr>
          <w:rFonts w:ascii="Arial" w:eastAsia="Arial" w:hAnsi="Arial" w:cs="Arial"/>
          <w:b/>
          <w:bCs/>
          <w:color w:val="1D5C52"/>
          <w:sz w:val="22"/>
          <w:szCs w:val="22"/>
          <w:u w:val="single" w:color="1D5C52"/>
        </w:rPr>
        <w:t>Контакти для консультацій</w:t>
      </w:r>
    </w:p>
    <w:p w14:paraId="6FE8E087" w14:textId="77777777" w:rsidR="00873AEC" w:rsidRDefault="00873AEC">
      <w:pPr>
        <w:spacing w:before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26"/>
      </w:tblGrid>
      <w:tr w:rsidR="00873AEC" w14:paraId="4FF59A1A" w14:textId="77777777">
        <w:tc>
          <w:tcPr>
            <w:tcW w:w="400" w:type="dxa"/>
            <w:tcMar>
              <w:top w:w="50" w:type="dxa"/>
              <w:left w:w="0" w:type="dxa"/>
              <w:bottom w:w="50" w:type="dxa"/>
              <w:right w:w="60" w:type="dxa"/>
            </w:tcMar>
          </w:tcPr>
          <w:p w14:paraId="53FA8404" w14:textId="77777777" w:rsidR="00873AEC" w:rsidRDefault="00104D8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✉</w:t>
            </w:r>
          </w:p>
        </w:tc>
        <w:tc>
          <w:tcPr>
            <w:tcW w:w="8626" w:type="dxa"/>
            <w:tcMar>
              <w:top w:w="50" w:type="dxa"/>
              <w:left w:w="60" w:type="dxa"/>
              <w:bottom w:w="50" w:type="dxa"/>
              <w:right w:w="0" w:type="dxa"/>
            </w:tcMar>
          </w:tcPr>
          <w:p w14:paraId="4CA779B9" w14:textId="77777777" w:rsidR="00873AEC" w:rsidRDefault="00104D82">
            <w:pPr>
              <w:spacing w:after="30"/>
            </w:pPr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>Електронна пошта:  xristokingena@gmail.com</w:t>
            </w:r>
          </w:p>
        </w:tc>
      </w:tr>
      <w:tr w:rsidR="00873AEC" w14:paraId="04FDC4B5" w14:textId="77777777">
        <w:tc>
          <w:tcPr>
            <w:tcW w:w="400" w:type="dxa"/>
            <w:tcMar>
              <w:top w:w="50" w:type="dxa"/>
              <w:left w:w="0" w:type="dxa"/>
              <w:bottom w:w="50" w:type="dxa"/>
              <w:right w:w="60" w:type="dxa"/>
            </w:tcMar>
          </w:tcPr>
          <w:p w14:paraId="1C25C6DE" w14:textId="77777777" w:rsidR="00873AEC" w:rsidRDefault="00104D8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☎</w:t>
            </w:r>
          </w:p>
        </w:tc>
        <w:tc>
          <w:tcPr>
            <w:tcW w:w="8626" w:type="dxa"/>
            <w:tcMar>
              <w:top w:w="50" w:type="dxa"/>
              <w:left w:w="60" w:type="dxa"/>
              <w:bottom w:w="50" w:type="dxa"/>
              <w:right w:w="0" w:type="dxa"/>
            </w:tcMar>
          </w:tcPr>
          <w:p w14:paraId="704AE9F1" w14:textId="77777777" w:rsidR="00873AEC" w:rsidRDefault="00104D82">
            <w:pPr>
              <w:spacing w:after="30"/>
            </w:pPr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 xml:space="preserve">Телефон / </w:t>
            </w:r>
            <w:proofErr w:type="spellStart"/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>Telegram</w:t>
            </w:r>
            <w:proofErr w:type="spellEnd"/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>Viber</w:t>
            </w:r>
            <w:proofErr w:type="spellEnd"/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>:  +38 (067) 9728685</w:t>
            </w:r>
          </w:p>
        </w:tc>
      </w:tr>
      <w:tr w:rsidR="00873AEC" w14:paraId="04626089" w14:textId="77777777">
        <w:tc>
          <w:tcPr>
            <w:tcW w:w="400" w:type="dxa"/>
            <w:tcMar>
              <w:top w:w="50" w:type="dxa"/>
              <w:left w:w="0" w:type="dxa"/>
              <w:bottom w:w="50" w:type="dxa"/>
              <w:right w:w="60" w:type="dxa"/>
            </w:tcMar>
          </w:tcPr>
          <w:p w14:paraId="166FF480" w14:textId="77777777" w:rsidR="00873AEC" w:rsidRDefault="00104D82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🌐</w:t>
            </w:r>
          </w:p>
        </w:tc>
        <w:tc>
          <w:tcPr>
            <w:tcW w:w="8626" w:type="dxa"/>
            <w:tcMar>
              <w:top w:w="50" w:type="dxa"/>
              <w:left w:w="60" w:type="dxa"/>
              <w:bottom w:w="50" w:type="dxa"/>
              <w:right w:w="0" w:type="dxa"/>
            </w:tcMar>
          </w:tcPr>
          <w:p w14:paraId="6003946F" w14:textId="77777777" w:rsidR="00873AEC" w:rsidRDefault="00104D82">
            <w:pPr>
              <w:spacing w:after="30"/>
            </w:pPr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 xml:space="preserve">Сайт </w:t>
            </w:r>
            <w:proofErr w:type="spellStart"/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>проєкту</w:t>
            </w:r>
            <w:proofErr w:type="spellEnd"/>
            <w:r>
              <w:rPr>
                <w:rFonts w:ascii="Arial" w:eastAsia="Arial" w:hAnsi="Arial" w:cs="Arial"/>
                <w:color w:val="1A2B4A"/>
                <w:sz w:val="19"/>
                <w:szCs w:val="19"/>
              </w:rPr>
              <w:t>:  sofiyske-bratstvo.org.ua</w:t>
            </w:r>
          </w:p>
        </w:tc>
      </w:tr>
    </w:tbl>
    <w:p w14:paraId="4D1E250F" w14:textId="77777777" w:rsidR="00873AEC" w:rsidRDefault="00873AEC">
      <w:pPr>
        <w:spacing w:before="40"/>
      </w:pPr>
    </w:p>
    <w:p w14:paraId="1880A09F" w14:textId="77777777" w:rsidR="00873AEC" w:rsidRDefault="00873AEC">
      <w:pPr>
        <w:pBdr>
          <w:bottom w:val="single" w:sz="4" w:space="0" w:color="1D5C52"/>
        </w:pBdr>
        <w:spacing w:before="28" w:after="28"/>
      </w:pPr>
    </w:p>
    <w:p w14:paraId="199EA405" w14:textId="77777777" w:rsidR="00873AEC" w:rsidRDefault="00873AEC">
      <w:pPr>
        <w:spacing w:before="30"/>
      </w:pPr>
    </w:p>
    <w:p w14:paraId="76070664" w14:textId="77777777" w:rsidR="00873AEC" w:rsidRDefault="00104D82">
      <w:pPr>
        <w:spacing w:after="60"/>
        <w:jc w:val="center"/>
      </w:pPr>
      <w:r>
        <w:rPr>
          <w:i/>
          <w:iCs/>
          <w:color w:val="1A2B4A"/>
          <w:sz w:val="20"/>
          <w:szCs w:val="20"/>
        </w:rPr>
        <w:t>Чекаємо на вашу участь.</w:t>
      </w:r>
    </w:p>
    <w:p w14:paraId="068D1B79" w14:textId="77777777" w:rsidR="00873AEC" w:rsidRDefault="00104D82">
      <w:pPr>
        <w:spacing w:after="60"/>
        <w:jc w:val="center"/>
      </w:pPr>
      <w:r>
        <w:rPr>
          <w:i/>
          <w:iCs/>
          <w:color w:val="555555"/>
          <w:sz w:val="19"/>
          <w:szCs w:val="19"/>
        </w:rPr>
        <w:t>Разом осмислюємо те, навколо чого можлива оновлена Україна.</w:t>
      </w:r>
    </w:p>
    <w:sectPr w:rsidR="00873AEC">
      <w:pgSz w:w="11906" w:h="16838"/>
      <w:pgMar w:top="1440" w:right="126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0EC"/>
    <w:multiLevelType w:val="hybridMultilevel"/>
    <w:tmpl w:val="A48E8412"/>
    <w:lvl w:ilvl="0" w:tplc="2EACD6A4">
      <w:start w:val="1"/>
      <w:numFmt w:val="bullet"/>
      <w:lvlText w:val="•"/>
      <w:lvlJc w:val="left"/>
      <w:pPr>
        <w:ind w:left="340" w:hanging="190"/>
      </w:pPr>
    </w:lvl>
    <w:lvl w:ilvl="1" w:tplc="F8E62D08">
      <w:numFmt w:val="decimal"/>
      <w:lvlText w:val=""/>
      <w:lvlJc w:val="left"/>
    </w:lvl>
    <w:lvl w:ilvl="2" w:tplc="EB4A372E">
      <w:numFmt w:val="decimal"/>
      <w:lvlText w:val=""/>
      <w:lvlJc w:val="left"/>
    </w:lvl>
    <w:lvl w:ilvl="3" w:tplc="2E8ACA12">
      <w:numFmt w:val="decimal"/>
      <w:lvlText w:val=""/>
      <w:lvlJc w:val="left"/>
    </w:lvl>
    <w:lvl w:ilvl="4" w:tplc="AB6A9AB0">
      <w:numFmt w:val="decimal"/>
      <w:lvlText w:val=""/>
      <w:lvlJc w:val="left"/>
    </w:lvl>
    <w:lvl w:ilvl="5" w:tplc="C00ACE5E">
      <w:numFmt w:val="decimal"/>
      <w:lvlText w:val=""/>
      <w:lvlJc w:val="left"/>
    </w:lvl>
    <w:lvl w:ilvl="6" w:tplc="A37AFB88">
      <w:numFmt w:val="decimal"/>
      <w:lvlText w:val=""/>
      <w:lvlJc w:val="left"/>
    </w:lvl>
    <w:lvl w:ilvl="7" w:tplc="1AACBC42">
      <w:numFmt w:val="decimal"/>
      <w:lvlText w:val=""/>
      <w:lvlJc w:val="left"/>
    </w:lvl>
    <w:lvl w:ilvl="8" w:tplc="C388EE3E">
      <w:numFmt w:val="decimal"/>
      <w:lvlText w:val=""/>
      <w:lvlJc w:val="left"/>
    </w:lvl>
  </w:abstractNum>
  <w:abstractNum w:abstractNumId="1">
    <w:nsid w:val="60BA0BFF"/>
    <w:multiLevelType w:val="hybridMultilevel"/>
    <w:tmpl w:val="C9B49DF4"/>
    <w:lvl w:ilvl="0" w:tplc="44EECF50">
      <w:start w:val="1"/>
      <w:numFmt w:val="bullet"/>
      <w:lvlText w:val="●"/>
      <w:lvlJc w:val="left"/>
      <w:pPr>
        <w:ind w:left="720" w:hanging="360"/>
      </w:pPr>
    </w:lvl>
    <w:lvl w:ilvl="1" w:tplc="B1D6EF0A">
      <w:start w:val="1"/>
      <w:numFmt w:val="bullet"/>
      <w:lvlText w:val="○"/>
      <w:lvlJc w:val="left"/>
      <w:pPr>
        <w:ind w:left="1440" w:hanging="360"/>
      </w:pPr>
    </w:lvl>
    <w:lvl w:ilvl="2" w:tplc="D3026932">
      <w:start w:val="1"/>
      <w:numFmt w:val="bullet"/>
      <w:lvlText w:val="■"/>
      <w:lvlJc w:val="left"/>
      <w:pPr>
        <w:ind w:left="2160" w:hanging="360"/>
      </w:pPr>
    </w:lvl>
    <w:lvl w:ilvl="3" w:tplc="3B1C198A">
      <w:start w:val="1"/>
      <w:numFmt w:val="bullet"/>
      <w:lvlText w:val="●"/>
      <w:lvlJc w:val="left"/>
      <w:pPr>
        <w:ind w:left="2880" w:hanging="360"/>
      </w:pPr>
    </w:lvl>
    <w:lvl w:ilvl="4" w:tplc="1686870C">
      <w:start w:val="1"/>
      <w:numFmt w:val="bullet"/>
      <w:lvlText w:val="○"/>
      <w:lvlJc w:val="left"/>
      <w:pPr>
        <w:ind w:left="3600" w:hanging="360"/>
      </w:pPr>
    </w:lvl>
    <w:lvl w:ilvl="5" w:tplc="4D3086A2">
      <w:start w:val="1"/>
      <w:numFmt w:val="bullet"/>
      <w:lvlText w:val="■"/>
      <w:lvlJc w:val="left"/>
      <w:pPr>
        <w:ind w:left="4320" w:hanging="360"/>
      </w:pPr>
    </w:lvl>
    <w:lvl w:ilvl="6" w:tplc="72D61502">
      <w:start w:val="1"/>
      <w:numFmt w:val="bullet"/>
      <w:lvlText w:val="●"/>
      <w:lvlJc w:val="left"/>
      <w:pPr>
        <w:ind w:left="5040" w:hanging="360"/>
      </w:pPr>
    </w:lvl>
    <w:lvl w:ilvl="7" w:tplc="40881D36">
      <w:start w:val="1"/>
      <w:numFmt w:val="bullet"/>
      <w:lvlText w:val="●"/>
      <w:lvlJc w:val="left"/>
      <w:pPr>
        <w:ind w:left="5760" w:hanging="360"/>
      </w:pPr>
    </w:lvl>
    <w:lvl w:ilvl="8" w:tplc="F290204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EC"/>
    <w:rsid w:val="00104D82"/>
    <w:rsid w:val="00493589"/>
    <w:rsid w:val="00873AEC"/>
    <w:rsid w:val="00CE291B"/>
    <w:rsid w:val="00FA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1"/>
        <w:szCs w:val="21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A25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1"/>
        <w:szCs w:val="21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A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mxto14duSrHYsnV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2347853063?pwd=OQUN66HTZX7qMdcAfoeBtxv62Zj0NI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Designer</cp:lastModifiedBy>
  <cp:revision>3</cp:revision>
  <dcterms:created xsi:type="dcterms:W3CDTF">2026-05-26T07:57:00Z</dcterms:created>
  <dcterms:modified xsi:type="dcterms:W3CDTF">2026-05-26T07:58:00Z</dcterms:modified>
</cp:coreProperties>
</file>